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ascii="方正小标宋简体" w:hAnsi="华文中宋" w:eastAsia="方正小标宋简体" w:hint="eastAsia"/>
          <w:bCs/>
          <w:color w:val="FF0000"/>
          <w:sz w:val="22"/>
          <w:szCs w:val="30"/>
          <w:u w:val="single"/>
        </w:rPr>
      </w:r>
      <w:r>
        <w:rPr>
          <w:rFonts w:ascii="黑体" w:eastAsia="黑体"/>
          <w:b/>
          <w:sz w:val="32"/>
          <w:szCs w:val="32"/>
          <w:lang w:val="zh-CN"/>
        </w:rPr>
        <w:t xml:space="preserve">产教融合人才培养模式创新实践-以浙江工商职业技术学院金融服务与管理专业为例</w:t>
      </w:r>
      <w:r>
        <w:rPr>
          <w:rFonts w:ascii="方正小标宋简体" w:hAnsi="华文中宋" w:eastAsia="方正小标宋简体" w:hint="eastAsia"/>
          <w:bCs/>
          <w:sz w:val="30"/>
          <w:szCs w:val="30"/>
        </w:rPr>
        <w:t xml:space="preserve">科研经费使用信息公开一览表</w:t>
      </w:r>
      <w:r/>
    </w:p>
    <w:p>
      <w:pPr>
        <w:jc w:val="center"/>
        <w:spacing w:lineRule="exact" w:line="520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 xml:space="preserve">填表人：</w:t>
      </w:r>
      <w:r>
        <w:rPr>
          <w:rFonts w:ascii="仿宋_GB2312" w:hAnsi="华文中宋" w:hint="eastAsia"/>
          <w:bCs/>
          <w:sz w:val="24"/>
          <w:u w:val="single"/>
        </w:rPr>
        <w:t xml:space="preserve">陈红玲               </w:t>
      </w:r>
      <w:r>
        <w:rPr>
          <w:rFonts w:ascii="仿宋_GB2312" w:hAnsi="华文中宋" w:hint="eastAsia"/>
          <w:bCs/>
          <w:sz w:val="24"/>
        </w:rPr>
        <w:t xml:space="preserve">                    填表日期： </w:t>
      </w:r>
      <w:r>
        <w:rPr>
          <w:rFonts w:ascii="仿宋_GB2312" w:hAnsi="华文中宋"/>
          <w:bCs/>
          <w:sz w:val="24"/>
          <w:lang w:val="zh-CN"/>
        </w:rPr>
        <w:t xml:space="preserve">2023</w:t>
      </w:r>
      <w:r>
        <w:rPr>
          <w:rFonts w:ascii="仿宋_GB2312" w:hAnsi="华文中宋"/>
          <w:bCs/>
          <w:sz w:val="24"/>
        </w:rPr>
        <w:t xml:space="preserve">年</w:t>
      </w:r>
      <w:r>
        <w:rPr>
          <w:rFonts w:ascii="仿宋_GB2312" w:hAnsi="华文中宋" w:hint="eastAsia"/>
          <w:bCs/>
          <w:sz w:val="24"/>
          <w:lang w:val="en-US" w:eastAsia="zh-CN"/>
        </w:rPr>
        <w:t xml:space="preserve"> </w:t>
      </w:r>
      <w:r>
        <w:rPr>
          <w:rFonts w:ascii="仿宋_GB2312" w:hAnsi="华文中宋"/>
          <w:bCs/>
          <w:sz w:val="24"/>
          <w:lang w:val="zh-CN"/>
        </w:rPr>
        <w:t xml:space="preserve">6</w:t>
      </w:r>
      <w:bookmarkStart w:id="0" w:name="_GoBack"/>
      <w:r/>
      <w:bookmarkEnd w:id="0"/>
      <w:r>
        <w:rPr>
          <w:rFonts w:ascii="仿宋_GB2312" w:hAnsi="华文中宋" w:hint="eastAsia"/>
          <w:bCs/>
          <w:sz w:val="24"/>
        </w:rPr>
        <w:t xml:space="preserve">月</w:t>
      </w:r>
      <w:r>
        <w:rPr>
          <w:rFonts w:ascii="仿宋_GB2312" w:hAnsi="华文中宋" w:hint="eastAsia"/>
          <w:bCs/>
          <w:sz w:val="24"/>
          <w:lang w:val="en-US" w:eastAsia="zh-CN"/>
        </w:rPr>
        <w:t xml:space="preserve"> </w:t>
      </w:r>
      <w:r>
        <w:rPr>
          <w:rFonts w:ascii="仿宋_GB2312" w:hAnsi="华文中宋"/>
          <w:bCs/>
          <w:sz w:val="24"/>
          <w:lang w:val="zh-CN"/>
        </w:rPr>
        <w:t xml:space="preserve">1</w:t>
      </w:r>
      <w:r>
        <w:rPr>
          <w:rFonts w:ascii="仿宋_GB2312" w:hAnsi="华文中宋" w:hint="eastAsia"/>
          <w:bCs/>
          <w:sz w:val="24"/>
        </w:rPr>
        <w:t xml:space="preserve">日</w:t>
      </w:r>
      <w:r/>
    </w:p>
    <w:tbl>
      <w:tblPr>
        <w:tblStyle w:val="624"/>
        <w:tblW w:w="10114" w:type="dxa"/>
        <w:jc w:val="center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none" w:sz="0" w:space="0" w:color="auto"/>
          <w:insideH w:val="none" w:sz="0" w:space="0" w:color="auto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>
        <w:trPr>
          <w:cantSplit/>
          <w:jc w:val="center"/>
          <w:trHeight w:val="31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立项</w:t>
            </w:r>
            <w:r/>
          </w:p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信息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项目名称</w:t>
            </w:r>
            <w:r/>
          </w:p>
        </w:tc>
        <w:tc>
          <w:tcPr>
            <w:gridSpan w:val="1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0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黑体" w:eastAsia="黑体"/>
                <w:b/>
                <w:sz w:val="21"/>
                <w:szCs w:val="32"/>
                <w:lang w:val="zh-CN"/>
              </w:rPr>
              <w:t xml:space="preserve">产教融合人才培养模式创新实践-以浙江工商职业技术学院金融服务与管理专业为例</w:t>
            </w:r>
            <w:r>
              <w:rPr>
                <w:sz w:val="21"/>
              </w:rPr>
            </w:r>
            <w:r/>
          </w:p>
        </w:tc>
      </w:tr>
      <w:tr>
        <w:trPr>
          <w:cantSplit/>
          <w:jc w:val="center"/>
          <w:trHeight w:val="281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立项部门</w:t>
            </w:r>
            <w:r/>
          </w:p>
        </w:tc>
        <w:tc>
          <w:tcPr>
            <w:gridSpan w:val="6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474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tabs>
                <w:tab w:val="left" w:pos="5940" w:leader="none"/>
              </w:tabs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hint="eastAsia"/>
                <w:color w:val="FF0000"/>
                <w:sz w:val="21"/>
                <w:szCs w:val="21"/>
                <w:lang w:val="zh-CN"/>
              </w:rPr>
              <w:t xml:space="preserve">学校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tabs>
                <w:tab w:val="left" w:pos="5940" w:leader="none"/>
              </w:tabs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立项文号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071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tabs>
                <w:tab w:val="left" w:pos="5940" w:leader="none"/>
              </w:tabs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z w:val="21"/>
                <w:szCs w:val="21"/>
                <w:lang w:val="zh-CN"/>
              </w:rPr>
              <w:t xml:space="preserve">01600289</w:t>
            </w:r>
            <w:r/>
          </w:p>
        </w:tc>
      </w:tr>
      <w:tr>
        <w:trPr>
          <w:cantSplit/>
          <w:jc w:val="center"/>
          <w:trHeight w:val="32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实施期限</w:t>
            </w:r>
            <w:r/>
          </w:p>
        </w:tc>
        <w:tc>
          <w:tcPr>
            <w:gridSpan w:val="1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0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val="zh-CN"/>
              </w:rPr>
              <w:t xml:space="preserve">2022-11-11</w:t>
            </w:r>
            <w:r>
              <w:rPr>
                <w:rFonts w:ascii="宋体" w:hAnsi="宋体" w:eastAsia="宋体" w:hint="eastAsia"/>
                <w:sz w:val="21"/>
                <w:szCs w:val="21"/>
              </w:rPr>
              <w:t xml:space="preserve">至</w:t>
            </w:r>
            <w:r>
              <w:rPr>
                <w:rFonts w:ascii="宋体" w:hAnsi="宋体" w:eastAsia="宋体"/>
                <w:sz w:val="21"/>
                <w:szCs w:val="21"/>
                <w:lang w:val="zh-CN"/>
              </w:rPr>
              <w:t xml:space="preserve">2024-6-30</w:t>
            </w:r>
            <w:r/>
          </w:p>
        </w:tc>
      </w:tr>
      <w:tr>
        <w:trPr>
          <w:cantSplit/>
          <w:jc w:val="center"/>
          <w:trHeight w:val="32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协作单位</w:t>
            </w:r>
            <w:r/>
          </w:p>
        </w:tc>
        <w:tc>
          <w:tcPr>
            <w:gridSpan w:val="1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0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黑体" w:eastAsia="黑体"/>
                <w:b/>
                <w:sz w:val="21"/>
                <w:szCs w:val="32"/>
                <w:u w:val="single"/>
                <w:lang w:val="zh-CN"/>
              </w:rPr>
              <w:t xml:space="preserve">宁波</w:t>
            </w:r>
            <w:r>
              <w:rPr>
                <w:rFonts w:ascii="黑体" w:eastAsia="黑体"/>
                <w:b/>
                <w:sz w:val="21"/>
                <w:szCs w:val="32"/>
                <w:u w:val="single"/>
                <w:lang w:val="zh-CN"/>
              </w:rPr>
              <w:t xml:space="preserve">奉化米蓝企业管理</w:t>
            </w:r>
            <w:r>
              <w:rPr>
                <w:rFonts w:ascii="黑体" w:eastAsia="黑体"/>
                <w:b/>
                <w:sz w:val="21"/>
                <w:szCs w:val="32"/>
                <w:u w:val="single"/>
                <w:lang w:val="zh-CN"/>
              </w:rPr>
              <w:t xml:space="preserve">合伙企业</w:t>
            </w:r>
            <w:r>
              <w:rPr>
                <w:rFonts w:ascii="黑体" w:eastAsia="黑体"/>
                <w:b/>
                <w:sz w:val="21"/>
                <w:szCs w:val="32"/>
                <w:u w:val="single"/>
                <w:lang w:val="zh-CN"/>
              </w:rPr>
              <w:t xml:space="preserve">（有限合伙）</w:t>
            </w:r>
            <w:r>
              <w:rPr>
                <w:rFonts w:ascii="黑体" w:eastAsia="黑体"/>
                <w:b/>
                <w:sz w:val="21"/>
                <w:szCs w:val="32"/>
                <w:u w:val="single"/>
                <w:lang w:val="zh-CN"/>
              </w:rPr>
              <w:t xml:space="preserve"> </w:t>
            </w:r>
            <w:r>
              <w:rPr>
                <w:rFonts w:ascii="黑体" w:eastAsia="黑体"/>
                <w:b/>
                <w:sz w:val="32"/>
                <w:szCs w:val="32"/>
                <w:u w:val="single"/>
                <w:lang w:val="zh-CN"/>
              </w:rPr>
              <w:t xml:space="preserve">   </w:t>
            </w:r>
            <w:r>
              <w:rPr>
                <w:rFonts w:ascii="黑体" w:eastAsia="黑体"/>
                <w:b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  <w:tr>
        <w:trPr>
          <w:cantSplit/>
          <w:jc w:val="center"/>
          <w:trHeight w:val="271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项目负责人及课题组成员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姓名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职称</w:t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9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工作单位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承担任务</w:t>
            </w:r>
            <w:r/>
          </w:p>
        </w:tc>
      </w:tr>
      <w:tr>
        <w:trPr>
          <w:cantSplit/>
          <w:jc w:val="center"/>
          <w:trHeight w:val="27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hint="eastAsia"/>
                <w:color w:val="FF0000"/>
                <w:sz w:val="21"/>
                <w:szCs w:val="21"/>
                <w:lang w:val="zh-CN"/>
              </w:rPr>
              <w:t xml:space="preserve">陈红玲 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副教授</w:t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95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浙江工商职业技术学院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总负责</w:t>
            </w:r>
            <w:r/>
          </w:p>
        </w:tc>
      </w:tr>
      <w:tr>
        <w:trPr>
          <w:cantSplit/>
          <w:jc w:val="center"/>
          <w:trHeight w:val="27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hint="eastAsia"/>
                <w:color w:val="FF0000"/>
                <w:sz w:val="21"/>
                <w:szCs w:val="21"/>
                <w:lang w:val="zh-CN"/>
              </w:rPr>
              <w:t xml:space="preserve"> 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95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  <w:tr>
        <w:trPr>
          <w:cantSplit/>
          <w:jc w:val="center"/>
          <w:trHeight w:val="283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hint="eastAsia"/>
                <w:color w:val="FF0000"/>
                <w:sz w:val="21"/>
                <w:szCs w:val="21"/>
                <w:lang w:val="zh-CN"/>
              </w:rPr>
              <w:t xml:space="preserve"> 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95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  <w:tr>
        <w:trPr>
          <w:cantSplit/>
          <w:jc w:val="center"/>
          <w:trHeight w:val="283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hint="eastAsia"/>
                <w:color w:val="FF0000"/>
                <w:sz w:val="21"/>
                <w:szCs w:val="21"/>
                <w:lang w:val="zh-CN"/>
              </w:rPr>
              <w:t xml:space="preserve"> 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95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  <w:tr>
        <w:trPr>
          <w:cantSplit/>
          <w:jc w:val="center"/>
          <w:trHeight w:val="281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hint="eastAsia"/>
                <w:color w:val="FF0000"/>
                <w:sz w:val="21"/>
                <w:szCs w:val="21"/>
                <w:lang w:val="zh-CN"/>
              </w:rPr>
              <w:t xml:space="preserve"> 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7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95" w:type="dxa"/>
            <w:vAlign w:val="center"/>
            <w:textDirection w:val="lrTb"/>
            <w:noWrap w:val="false"/>
          </w:tcPr>
          <w:p>
            <w:pPr>
              <w:ind w:left="42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  <w:tr>
        <w:trPr>
          <w:cantSplit/>
          <w:jc w:val="center"/>
          <w:trHeight w:val="50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经费总额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color w:val="FF0000"/>
                <w:sz w:val="21"/>
                <w:szCs w:val="21"/>
                <w:lang w:val="zh-CN"/>
              </w:rPr>
              <w:t xml:space="preserve">4.4</w:t>
            </w: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其中</w:t>
            </w:r>
            <w:r/>
          </w:p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拨款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29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color w:val="FF0000"/>
                <w:sz w:val="21"/>
                <w:szCs w:val="21"/>
                <w:lang w:val="zh-CN"/>
              </w:rPr>
              <w:t xml:space="preserve">0</w:t>
            </w: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6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其他经费</w:t>
            </w:r>
            <w:r/>
          </w:p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来源及金额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val="zh-CN"/>
              </w:rPr>
              <w:t xml:space="preserve">0</w:t>
            </w: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</w:tr>
      <w:tr>
        <w:trPr>
          <w:cantSplit/>
          <w:jc w:val="center"/>
          <w:trHeight w:val="34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经费预算</w:t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2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设备购置费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29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6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材料费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</w:tr>
      <w:tr>
        <w:trPr>
          <w:cantSplit/>
          <w:jc w:val="center"/>
          <w:trHeight w:val="28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2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测试化验加工费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29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6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燃料动力费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</w:tr>
      <w:tr>
        <w:trPr>
          <w:cantSplit/>
          <w:jc w:val="center"/>
          <w:trHeight w:val="30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2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差旅费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29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val="zh-CN"/>
              </w:rPr>
              <w:t xml:space="preserve">0.150943</w:t>
            </w: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6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会议费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</w:tr>
      <w:tr>
        <w:trPr>
          <w:cantSplit/>
          <w:jc w:val="center"/>
          <w:trHeight w:val="296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2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合作协作研究与交流费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29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6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劳务费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val="zh-CN"/>
              </w:rPr>
              <w:t xml:space="preserve">4</w:t>
            </w: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</w:tr>
      <w:tr>
        <w:trPr>
          <w:cantSplit/>
          <w:jc w:val="center"/>
          <w:trHeight w:val="26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2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出版/文献/信息传播/知识产权事务费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29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6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专家咨询费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</w:tr>
      <w:tr>
        <w:trPr>
          <w:cantSplit/>
          <w:jc w:val="center"/>
          <w:trHeight w:val="311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2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管理费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29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6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绩效支出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                  万元</w:t>
            </w:r>
            <w:r/>
          </w:p>
        </w:tc>
      </w:tr>
      <w:tr>
        <w:trPr>
          <w:cantSplit/>
          <w:jc w:val="center"/>
          <w:trHeight w:val="346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过程</w:t>
            </w:r>
            <w:r/>
          </w:p>
          <w:p>
            <w:pPr>
              <w:jc w:val="center"/>
              <w:spacing w:lineRule="exact" w:line="240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信息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经费到位情况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已拨入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01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/>
                <w:sz w:val="21"/>
                <w:szCs w:val="21"/>
                <w:lang w:val="zh-CN"/>
              </w:rPr>
              <w:t xml:space="preserve">4.4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万元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29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未拨入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6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/>
                <w:sz w:val="21"/>
                <w:szCs w:val="21"/>
                <w:lang w:val="zh-CN"/>
              </w:rPr>
              <w:t xml:space="preserve">0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万元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41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实际经费使用总额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67" w:type="dxa"/>
            <w:vAlign w:val="center"/>
            <w:textDirection w:val="lrTb"/>
            <w:noWrap w:val="false"/>
          </w:tcPr>
          <w:p>
            <w:pPr>
              <w:ind w:firstLine="315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val="zh-CN"/>
              </w:rPr>
              <w:t xml:space="preserve">0</w:t>
            </w: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</w:tr>
      <w:tr>
        <w:trPr>
          <w:cantSplit/>
          <w:jc w:val="center"/>
          <w:trHeight w:val="40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textDirection w:val="lrTb"/>
            <w:noWrap w:val="false"/>
          </w:tcPr>
          <w:p>
            <w:pPr>
              <w:ind w:firstLine="210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阶段性成果</w:t>
            </w:r>
            <w:r/>
          </w:p>
        </w:tc>
        <w:tc>
          <w:tcPr>
            <w:gridSpan w:val="1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05" w:type="dxa"/>
            <w:vAlign w:val="center"/>
            <w:textDirection w:val="lrTb"/>
            <w:noWrap w:val="false"/>
          </w:tcPr>
          <w:p>
            <w:pPr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  <w:tr>
        <w:trPr>
          <w:cantSplit/>
          <w:jc w:val="center"/>
          <w:trHeight w:val="36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4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预算支出情况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54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设备费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6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材料费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</w:tr>
      <w:tr>
        <w:trPr>
          <w:cantSplit/>
          <w:jc w:val="center"/>
          <w:trHeight w:val="32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4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54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测试化验加工费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6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燃料动力费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</w:tr>
      <w:tr>
        <w:trPr>
          <w:cantSplit/>
          <w:jc w:val="center"/>
          <w:trHeight w:val="32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4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54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差旅费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tabs>
                <w:tab w:val="left" w:pos="750" w:leader="none"/>
              </w:tabs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val="zh-CN"/>
              </w:rPr>
              <w:t xml:space="preserve">0.0610</w:t>
            </w: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6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会议费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</w:tr>
      <w:tr>
        <w:trPr>
          <w:cantSplit/>
          <w:jc w:val="center"/>
          <w:trHeight w:val="32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4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54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合作协作研究与交流费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tabs>
                <w:tab w:val="left" w:pos="750" w:leader="none"/>
              </w:tabs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6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劳务费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val="zh-CN"/>
              </w:rPr>
              <w:t xml:space="preserve">0.88</w:t>
            </w: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</w:tr>
      <w:tr>
        <w:trPr>
          <w:cantSplit/>
          <w:jc w:val="center"/>
          <w:trHeight w:val="32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4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54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出版/文献/信息传播/知识产权事务费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tabs>
                <w:tab w:val="left" w:pos="750" w:leader="none"/>
              </w:tabs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6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专家咨询费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</w:tr>
      <w:tr>
        <w:trPr>
          <w:cantSplit/>
          <w:jc w:val="center"/>
          <w:trHeight w:val="34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</w:tcBorders>
            <w:tcW w:w="14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54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管理费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tabs>
                <w:tab w:val="left" w:pos="780" w:leader="none"/>
                <w:tab w:val="center" w:pos="2437" w:leader="none"/>
              </w:tabs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val="zh-CN"/>
              </w:rPr>
              <w:t xml:space="preserve">0.249057</w:t>
            </w: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6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tabs>
                <w:tab w:val="left" w:pos="780" w:leader="none"/>
                <w:tab w:val="center" w:pos="2437" w:leader="none"/>
              </w:tabs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绩效支出</w:t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tabs>
                <w:tab w:val="left" w:pos="780" w:leader="none"/>
                <w:tab w:val="center" w:pos="2437" w:leader="none"/>
              </w:tabs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</w:tr>
      <w:tr>
        <w:trPr>
          <w:cantSplit/>
          <w:jc w:val="center"/>
          <w:trHeight w:val="348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54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外协费拨出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677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tabs>
                <w:tab w:val="left" w:pos="780" w:leader="none"/>
                <w:tab w:val="center" w:pos="2437" w:leader="none"/>
              </w:tabs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万元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66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tabs>
                <w:tab w:val="left" w:pos="780" w:leader="none"/>
                <w:tab w:val="center" w:pos="2437" w:leader="none"/>
              </w:tabs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608" w:type="dxa"/>
            <w:vAlign w:val="center"/>
            <w:textDirection w:val="lrTb"/>
            <w:noWrap w:val="false"/>
          </w:tcPr>
          <w:p>
            <w:pPr>
              <w:jc w:val="right"/>
              <w:spacing w:lineRule="exact" w:line="240"/>
              <w:tabs>
                <w:tab w:val="left" w:pos="780" w:leader="none"/>
                <w:tab w:val="center" w:pos="2437" w:leader="none"/>
              </w:tabs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  <w:tr>
        <w:trPr>
          <w:cantSplit/>
          <w:jc w:val="center"/>
          <w:trHeight w:val="281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大额设备和材料名称和价格</w:t>
            </w:r>
            <w:r/>
          </w:p>
        </w:tc>
        <w:tc>
          <w:tcPr>
            <w:gridSpan w:val="1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05" w:type="dxa"/>
            <w:vAlign w:val="center"/>
            <w:textDirection w:val="lrTb"/>
            <w:noWrap w:val="false"/>
          </w:tcPr>
          <w:p>
            <w:pPr>
              <w:spacing w:lineRule="exact" w:line="240"/>
              <w:tabs>
                <w:tab w:val="left" w:pos="780" w:leader="none"/>
                <w:tab w:val="center" w:pos="2437" w:leader="none"/>
              </w:tabs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  <w:tr>
        <w:trPr>
          <w:cantSplit/>
          <w:jc w:val="center"/>
          <w:trHeight w:val="54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结题验收信息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textDirection w:val="lrTb"/>
            <w:noWrap w:val="false"/>
          </w:tcPr>
          <w:p>
            <w:pPr>
              <w:ind w:right="-106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获得的标志性成果</w:t>
            </w:r>
            <w:r/>
          </w:p>
        </w:tc>
        <w:tc>
          <w:tcPr>
            <w:gridSpan w:val="1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05" w:type="dxa"/>
            <w:vAlign w:val="center"/>
            <w:textDirection w:val="lrTb"/>
            <w:noWrap w:val="false"/>
          </w:tcPr>
          <w:p>
            <w:pPr>
              <w:spacing w:lineRule="exact" w:line="240"/>
              <w:tabs>
                <w:tab w:val="center" w:pos="3417" w:leader="none"/>
                <w:tab w:val="left" w:pos="4380" w:leader="none"/>
              </w:tabs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  <w:tr>
        <w:trPr>
          <w:cantSplit/>
          <w:jc w:val="center"/>
          <w:trHeight w:val="37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textDirection w:val="lrTb"/>
            <w:noWrap w:val="false"/>
          </w:tcPr>
          <w:p>
            <w:pPr>
              <w:ind w:right="-106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经费结算情况</w:t>
            </w:r>
            <w:r/>
          </w:p>
        </w:tc>
        <w:tc>
          <w:tcPr>
            <w:gridSpan w:val="1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05" w:type="dxa"/>
            <w:vAlign w:val="center"/>
            <w:textDirection w:val="lrTb"/>
            <w:noWrap w:val="false"/>
          </w:tcPr>
          <w:p>
            <w:pPr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  <w:tr>
        <w:trPr>
          <w:cantSplit/>
          <w:jc w:val="center"/>
          <w:trHeight w:val="44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textDirection w:val="lrTb"/>
            <w:noWrap w:val="false"/>
          </w:tcPr>
          <w:p>
            <w:pPr>
              <w:ind w:right="-106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验收时间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31" w:type="dxa"/>
            <w:vAlign w:val="center"/>
            <w:textDirection w:val="lrTb"/>
            <w:noWrap w:val="false"/>
          </w:tcPr>
          <w:p>
            <w:pPr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val="zh-CN"/>
              </w:rPr>
              <w:t xml:space="preserve">2024-6-30</w:t>
            </w:r>
            <w:r/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75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验收组织单位</w:t>
            </w:r>
            <w:r/>
          </w:p>
        </w:tc>
        <w:tc>
          <w:tcPr>
            <w:gridSpan w:val="4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  <w:tr>
        <w:trPr>
          <w:cantSplit/>
          <w:jc w:val="center"/>
          <w:trHeight w:val="359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textDirection w:val="lrTb"/>
            <w:noWrap w:val="false"/>
          </w:tcPr>
          <w:p>
            <w:pPr>
              <w:ind w:right="-106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验收组成员</w:t>
            </w:r>
            <w:r/>
          </w:p>
        </w:tc>
        <w:tc>
          <w:tcPr>
            <w:gridSpan w:val="1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05" w:type="dxa"/>
            <w:vAlign w:val="center"/>
            <w:textDirection w:val="lrTb"/>
            <w:noWrap w:val="false"/>
          </w:tcPr>
          <w:p>
            <w:pPr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  <w:tr>
        <w:trPr>
          <w:cantSplit/>
          <w:jc w:val="center"/>
          <w:trHeight w:val="471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84" w:type="dxa"/>
            <w:vAlign w:val="center"/>
            <w:textDirection w:val="lrTb"/>
            <w:noWrap w:val="false"/>
          </w:tcPr>
          <w:p>
            <w:pPr>
              <w:ind w:right="-106"/>
              <w:jc w:val="center"/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hint="eastAsia"/>
                <w:sz w:val="21"/>
                <w:szCs w:val="21"/>
              </w:rPr>
              <w:t xml:space="preserve">结题验收意见</w:t>
            </w:r>
            <w:r/>
          </w:p>
        </w:tc>
        <w:tc>
          <w:tcPr>
            <w:gridSpan w:val="1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05" w:type="dxa"/>
            <w:vAlign w:val="center"/>
            <w:textDirection w:val="lrTb"/>
            <w:noWrap w:val="false"/>
          </w:tcPr>
          <w:p>
            <w:pPr>
              <w:spacing w:lineRule="exact" w:line="24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/>
          </w:p>
        </w:tc>
      </w:tr>
    </w:tbl>
    <w:p>
      <w:pPr>
        <w:spacing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 xml:space="preserve">注：涉及商业秘密的，委托单位、项目名称等敏感关键词用“*”替代。</w:t>
      </w:r>
      <w:r/>
    </w:p>
    <w:sectPr>
      <w:footnotePr/>
      <w:endnotePr/>
      <w:type w:val="nextPage"/>
      <w:pgSz w:w="11906" w:h="16838" w:orient="portrait"/>
      <w:pgMar w:top="1418" w:right="1418" w:bottom="1418" w:left="1418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简体">
    <w:panose1 w:val="020B0503020202020204"/>
  </w:font>
  <w:font w:name="宋体">
    <w:panose1 w:val="02010600030101010101"/>
  </w:font>
  <w:font w:name="黑体">
    <w:panose1 w:val="02010609060101010101"/>
  </w:font>
  <w:font w:name="华文中宋">
    <w:panose1 w:val="02010600040101010101"/>
  </w:font>
  <w:font w:name="仿宋_GB2312">
    <w:panose1 w:val="0201060906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2"/>
    <w:next w:val="622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3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2"/>
    <w:next w:val="622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3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2"/>
    <w:next w:val="622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3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2"/>
    <w:next w:val="622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3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2"/>
    <w:next w:val="622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3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2"/>
    <w:next w:val="622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3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2"/>
    <w:next w:val="622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3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2"/>
    <w:next w:val="622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3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2"/>
    <w:next w:val="622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3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2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2"/>
    <w:next w:val="622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3"/>
    <w:link w:val="467"/>
    <w:uiPriority w:val="10"/>
    <w:rPr>
      <w:sz w:val="48"/>
      <w:szCs w:val="48"/>
    </w:rPr>
  </w:style>
  <w:style w:type="paragraph" w:styleId="469">
    <w:name w:val="Subtitle"/>
    <w:basedOn w:val="622"/>
    <w:next w:val="622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3"/>
    <w:link w:val="469"/>
    <w:uiPriority w:val="11"/>
    <w:rPr>
      <w:sz w:val="24"/>
      <w:szCs w:val="24"/>
    </w:rPr>
  </w:style>
  <w:style w:type="paragraph" w:styleId="471">
    <w:name w:val="Quote"/>
    <w:basedOn w:val="622"/>
    <w:next w:val="622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2"/>
    <w:next w:val="622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character" w:styleId="475">
    <w:name w:val="Header Char"/>
    <w:basedOn w:val="623"/>
    <w:link w:val="626"/>
    <w:uiPriority w:val="99"/>
  </w:style>
  <w:style w:type="character" w:styleId="476">
    <w:name w:val="Footer Char"/>
    <w:basedOn w:val="623"/>
    <w:link w:val="625"/>
    <w:uiPriority w:val="99"/>
  </w:style>
  <w:style w:type="paragraph" w:styleId="477">
    <w:name w:val="Caption"/>
    <w:basedOn w:val="622"/>
    <w:next w:val="6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8">
    <w:name w:val="Caption Char"/>
    <w:basedOn w:val="477"/>
    <w:link w:val="625"/>
    <w:uiPriority w:val="99"/>
  </w:style>
  <w:style w:type="table" w:styleId="479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1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4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6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8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9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0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1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2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3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4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5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8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1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2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3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4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5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6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3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4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5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6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7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8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9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1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2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3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4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5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6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7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8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9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0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1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2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3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4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5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6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7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8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9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0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1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2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3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4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5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6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7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8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9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0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1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2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3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4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5">
    <w:name w:val="Hyperlink"/>
    <w:uiPriority w:val="99"/>
    <w:unhideWhenUsed/>
    <w:rPr>
      <w:color w:val="0000FF" w:themeColor="hyperlink"/>
      <w:u w:val="single"/>
    </w:rPr>
  </w:style>
  <w:style w:type="paragraph" w:styleId="606">
    <w:name w:val="footnote text"/>
    <w:basedOn w:val="622"/>
    <w:link w:val="607"/>
    <w:uiPriority w:val="99"/>
    <w:semiHidden/>
    <w:unhideWhenUsed/>
    <w:rPr>
      <w:sz w:val="18"/>
    </w:rPr>
    <w:pPr>
      <w:spacing w:lineRule="auto" w:line="240" w:after="40"/>
    </w:pPr>
  </w:style>
  <w:style w:type="character" w:styleId="607">
    <w:name w:val="Footnote Text Char"/>
    <w:link w:val="606"/>
    <w:uiPriority w:val="99"/>
    <w:rPr>
      <w:sz w:val="18"/>
    </w:rPr>
  </w:style>
  <w:style w:type="character" w:styleId="608">
    <w:name w:val="footnote reference"/>
    <w:basedOn w:val="623"/>
    <w:uiPriority w:val="99"/>
    <w:unhideWhenUsed/>
    <w:rPr>
      <w:vertAlign w:val="superscript"/>
    </w:rPr>
  </w:style>
  <w:style w:type="paragraph" w:styleId="609">
    <w:name w:val="endnote text"/>
    <w:basedOn w:val="622"/>
    <w:link w:val="610"/>
    <w:uiPriority w:val="99"/>
    <w:semiHidden/>
    <w:unhideWhenUsed/>
    <w:rPr>
      <w:sz w:val="20"/>
    </w:rPr>
    <w:pPr>
      <w:spacing w:lineRule="auto" w:line="240" w:after="0"/>
    </w:pPr>
  </w:style>
  <w:style w:type="character" w:styleId="610">
    <w:name w:val="Endnote Text Char"/>
    <w:link w:val="609"/>
    <w:uiPriority w:val="99"/>
    <w:rPr>
      <w:sz w:val="20"/>
    </w:rPr>
  </w:style>
  <w:style w:type="character" w:styleId="611">
    <w:name w:val="endnote reference"/>
    <w:basedOn w:val="623"/>
    <w:uiPriority w:val="99"/>
    <w:semiHidden/>
    <w:unhideWhenUsed/>
    <w:rPr>
      <w:vertAlign w:val="superscript"/>
    </w:rPr>
  </w:style>
  <w:style w:type="paragraph" w:styleId="61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61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61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61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61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61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61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61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62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621">
    <w:name w:val="TOC Heading"/>
    <w:uiPriority w:val="39"/>
    <w:unhideWhenUsed/>
  </w:style>
  <w:style w:type="paragraph" w:styleId="622" w:default="1">
    <w:name w:val="Normal"/>
    <w:qFormat/>
    <w:uiPriority w:val="0"/>
    <w:rPr>
      <w:rFonts w:ascii="Times New Roman" w:hAnsi="Times New Roman" w:cs="Times New Roman" w:eastAsia="仿宋_GB2312"/>
      <w:sz w:val="28"/>
      <w:szCs w:val="24"/>
      <w:lang w:val="en-US" w:bidi="ar-SA" w:eastAsia="zh-CN"/>
    </w:rPr>
    <w:pPr>
      <w:jc w:val="both"/>
      <w:spacing w:lineRule="exact" w:line="600"/>
      <w:widowControl w:val="off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625">
    <w:name w:val="Footer"/>
    <w:basedOn w:val="622"/>
    <w:link w:val="628"/>
    <w:uiPriority w:val="99"/>
    <w:unhideWhenUsed/>
    <w:rPr>
      <w:rFonts w:ascii="Calibri" w:hAnsi="Calibri" w:cs="Calibri" w:eastAsia="Calibri"/>
      <w:sz w:val="18"/>
      <w:szCs w:val="18"/>
    </w:rPr>
    <w:pPr>
      <w:jc w:val="left"/>
      <w:spacing w:lineRule="auto" w:line="240"/>
      <w:tabs>
        <w:tab w:val="center" w:pos="4153" w:leader="none"/>
        <w:tab w:val="right" w:pos="8306" w:leader="none"/>
      </w:tabs>
    </w:pPr>
  </w:style>
  <w:style w:type="paragraph" w:styleId="626">
    <w:name w:val="Header"/>
    <w:basedOn w:val="622"/>
    <w:link w:val="627"/>
    <w:uiPriority w:val="99"/>
    <w:unhideWhenUsed/>
    <w:rPr>
      <w:rFonts w:ascii="Calibri" w:hAnsi="Calibri" w:cs="Calibri" w:eastAsia="Calibri"/>
      <w:sz w:val="18"/>
      <w:szCs w:val="18"/>
    </w:rPr>
    <w:pPr>
      <w:jc w:val="center"/>
      <w:spacing w:lineRule="auto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character" w:styleId="627" w:customStyle="1">
    <w:name w:val="页眉 字符"/>
    <w:basedOn w:val="623"/>
    <w:link w:val="626"/>
    <w:uiPriority w:val="99"/>
    <w:rPr>
      <w:sz w:val="18"/>
      <w:szCs w:val="18"/>
    </w:rPr>
  </w:style>
  <w:style w:type="character" w:styleId="628" w:customStyle="1">
    <w:name w:val="页脚 字符"/>
    <w:basedOn w:val="623"/>
    <w:link w:val="625"/>
    <w:uiPriority w:val="99"/>
    <w:rPr>
      <w:sz w:val="18"/>
      <w:szCs w:val="18"/>
    </w:rPr>
  </w:style>
  <w:style w:type="numbering" w:styleId="629" w:default="1">
    <w:name w:val="No List"/>
    <w:uiPriority w:val="99"/>
    <w:semiHidden/>
    <w:unhideWhenUsed/>
  </w:style>
  <w:style w:type="paragraph" w:styleId="630" w:customStyle="1">
    <w:name w:val="正文1"/>
    <w:rPr>
      <w:rFonts w:ascii="Times New Roman" w:hAnsi="Times New Roman" w:cs="Times New Roman" w:eastAsia="宋体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1"/>
      <w:szCs w:val="24"/>
      <w:highlight w:val="none"/>
      <w:u w:val="none"/>
      <w:vertAlign w:val="baseline"/>
      <w:rtl w:val="false"/>
      <w:cs w:val="false"/>
      <w:lang w:val="en-US" w:bidi="ar-SA" w:eastAsia="zh-CN"/>
    </w:rPr>
    <w:pPr>
      <w:contextualSpacing w:val="false"/>
      <w:ind w:left="0" w:right="0" w:firstLine="0"/>
      <w:jc w:val="both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JisuOffice/1.0</Application>
  <Company>Lenovo (Beijing) Limited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revision>8</cp:revision>
  <dcterms:created xsi:type="dcterms:W3CDTF">2018-12-21T01:27:00Z</dcterms:created>
  <dcterms:modified xsi:type="dcterms:W3CDTF">2023-06-08T02:34:03Z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